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 xml:space="preserve">The below schedule is a sample of planned maintenance activities, however, The Entity shall proactively source from the manufacturer, the required maintenance for each </w:t>
      </w:r>
      <w:proofErr w:type="gramStart"/>
      <w:r w:rsidRPr="00014652">
        <w:t>assets</w:t>
      </w:r>
      <w:proofErr w:type="gramEnd"/>
      <w:r w:rsidRPr="00014652">
        <w:t>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57CCED22" w:rsidR="00014652" w:rsidRPr="00014652" w:rsidRDefault="00014652" w:rsidP="002C4F9B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Specific Planned </w:t>
            </w:r>
            <w:r w:rsidR="002C4F9B">
              <w:rPr>
                <w:rFonts w:eastAsia="Arial"/>
                <w:sz w:val="18"/>
                <w:szCs w:val="18"/>
              </w:rPr>
              <w:t>Maintenance (P</w:t>
            </w:r>
            <w:r w:rsidRPr="00014652">
              <w:rPr>
                <w:rFonts w:eastAsia="Arial"/>
                <w:sz w:val="18"/>
                <w:szCs w:val="18"/>
              </w:rPr>
              <w:t>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2848B5">
              <w:rPr>
                <w:rFonts w:eastAsia="Arial"/>
                <w:sz w:val="18"/>
                <w:szCs w:val="18"/>
              </w:rPr>
            </w:r>
            <w:r w:rsidR="002848B5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405F" w14:textId="77777777" w:rsidR="002848B5" w:rsidRDefault="002848B5">
      <w:r>
        <w:separator/>
      </w:r>
    </w:p>
    <w:p w14:paraId="3E4B3D1A" w14:textId="77777777" w:rsidR="002848B5" w:rsidRDefault="002848B5"/>
  </w:endnote>
  <w:endnote w:type="continuationSeparator" w:id="0">
    <w:p w14:paraId="62306662" w14:textId="77777777" w:rsidR="002848B5" w:rsidRDefault="002848B5">
      <w:r>
        <w:continuationSeparator/>
      </w:r>
    </w:p>
    <w:p w14:paraId="75D4A706" w14:textId="77777777" w:rsidR="002848B5" w:rsidRDefault="00284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660A" w14:textId="77777777" w:rsidR="00CA718B" w:rsidRDefault="00CA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CE81E21" w:rsidR="009210BF" w:rsidRDefault="002848B5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B4240">
          <w:rPr>
            <w:sz w:val="16"/>
            <w:szCs w:val="16"/>
            <w:lang w:val="en-AU"/>
          </w:rPr>
          <w:t>EOM-ZM0-TP-000180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CA718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C4F9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C4F9B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9921" w14:textId="77777777" w:rsidR="00CA718B" w:rsidRDefault="00CA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5E70" w14:textId="77777777" w:rsidR="002848B5" w:rsidRDefault="002848B5">
      <w:r>
        <w:separator/>
      </w:r>
    </w:p>
    <w:p w14:paraId="5010DCD5" w14:textId="77777777" w:rsidR="002848B5" w:rsidRDefault="002848B5"/>
  </w:footnote>
  <w:footnote w:type="continuationSeparator" w:id="0">
    <w:p w14:paraId="135681FC" w14:textId="77777777" w:rsidR="002848B5" w:rsidRDefault="002848B5">
      <w:r>
        <w:continuationSeparator/>
      </w:r>
    </w:p>
    <w:p w14:paraId="78C558F7" w14:textId="77777777" w:rsidR="002848B5" w:rsidRDefault="00284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41EE" w14:textId="77777777" w:rsidR="00CA718B" w:rsidRDefault="00CA7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8F23C67" w:rsidR="009210BF" w:rsidRDefault="00CA718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B4956F0" wp14:editId="6CBE4BF8">
                <wp:simplePos x="0" y="0"/>
                <wp:positionH relativeFrom="column">
                  <wp:posOffset>-484505</wp:posOffset>
                </wp:positionH>
                <wp:positionV relativeFrom="paragraph">
                  <wp:posOffset>-187325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8469A54" w:rsidR="009210BF" w:rsidRPr="006A25F8" w:rsidRDefault="00CB4240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B4240">
            <w:rPr>
              <w:kern w:val="32"/>
              <w:sz w:val="24"/>
              <w:szCs w:val="24"/>
              <w:lang w:val="en-GB"/>
            </w:rPr>
            <w:t>Communication Planned Maintenance Schedule Checklist - Municipal</w:t>
          </w:r>
        </w:p>
      </w:tc>
    </w:tr>
  </w:tbl>
  <w:p w14:paraId="0FE4F66F" w14:textId="3FED9823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12EE" w14:textId="77777777" w:rsidR="00CA718B" w:rsidRDefault="00CA7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48B5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F9B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CC5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0B4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2D9A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A718B"/>
    <w:rsid w:val="00CB2417"/>
    <w:rsid w:val="00CB2C72"/>
    <w:rsid w:val="00CB2D8D"/>
    <w:rsid w:val="00CB3015"/>
    <w:rsid w:val="00CB3BCC"/>
    <w:rsid w:val="00CB4240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1C943B-CFDB-4BB8-AD06-E0C095D6C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DB7AE-BACB-4AD2-84CD-F29DBC598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EOM-ZM0-TP-000180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2021-04-29T08:32:00Z</dcterms:created>
  <dcterms:modified xsi:type="dcterms:W3CDTF">2021-08-17T09:31:00Z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